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94D" w:rsidRDefault="00DF094D">
      <w:r>
        <w:t xml:space="preserve">Pre-AP/APWH: Let’s learn how to analyze parts of a document, particularly </w:t>
      </w:r>
      <w:r w:rsidRPr="004951A2">
        <w:rPr>
          <w:b/>
          <w:u w:val="single"/>
        </w:rPr>
        <w:t>using evidence</w:t>
      </w:r>
      <w:r>
        <w:t xml:space="preserve"> to draw conclusions. Late</w:t>
      </w:r>
      <w:r w:rsidR="000A3E78">
        <w:t>r</w:t>
      </w:r>
      <w:r>
        <w:t xml:space="preserve"> we will learn another tool</w:t>
      </w:r>
      <w:r w:rsidR="000A3E78">
        <w:t xml:space="preserve"> for analyzing documents called SOAPSTONE.</w:t>
      </w:r>
      <w:r>
        <w:t xml:space="preserve"> </w:t>
      </w:r>
      <w:bookmarkStart w:id="0" w:name="_GoBack"/>
      <w:bookmarkEnd w:id="0"/>
    </w:p>
    <w:tbl>
      <w:tblPr>
        <w:tblStyle w:val="TableGrid"/>
        <w:tblpPr w:leftFromText="180" w:rightFromText="180" w:vertAnchor="text" w:horzAnchor="page" w:tblpX="541" w:tblpY="317"/>
        <w:tblW w:w="11355" w:type="dxa"/>
        <w:tblLook w:val="04A0" w:firstRow="1" w:lastRow="0" w:firstColumn="1" w:lastColumn="0" w:noHBand="0" w:noVBand="1"/>
      </w:tblPr>
      <w:tblGrid>
        <w:gridCol w:w="5677"/>
        <w:gridCol w:w="5678"/>
      </w:tblGrid>
      <w:tr w:rsidR="00DF094D" w:rsidTr="00DF094D">
        <w:trPr>
          <w:trHeight w:val="481"/>
        </w:trPr>
        <w:tc>
          <w:tcPr>
            <w:tcW w:w="5677" w:type="dxa"/>
          </w:tcPr>
          <w:p w:rsidR="00DF094D" w:rsidRPr="00D648AE" w:rsidRDefault="00DF094D" w:rsidP="00DF094D">
            <w:pPr>
              <w:jc w:val="center"/>
              <w:rPr>
                <w:b/>
              </w:rPr>
            </w:pPr>
            <w:r w:rsidRPr="00D648AE">
              <w:rPr>
                <w:b/>
              </w:rPr>
              <w:t>Text</w:t>
            </w:r>
            <w:r>
              <w:rPr>
                <w:b/>
              </w:rPr>
              <w:t xml:space="preserve"> (Try to site specific evidence)</w:t>
            </w:r>
          </w:p>
        </w:tc>
        <w:tc>
          <w:tcPr>
            <w:tcW w:w="5678" w:type="dxa"/>
          </w:tcPr>
          <w:p w:rsidR="00DF094D" w:rsidRPr="00D648AE" w:rsidRDefault="00DF094D" w:rsidP="00DF094D">
            <w:pPr>
              <w:jc w:val="center"/>
              <w:rPr>
                <w:b/>
              </w:rPr>
            </w:pPr>
            <w:r>
              <w:rPr>
                <w:b/>
                <w:noProof/>
              </w:rPr>
              <mc:AlternateContent>
                <mc:Choice Requires="wps">
                  <w:drawing>
                    <wp:anchor distT="0" distB="0" distL="114300" distR="114300" simplePos="0" relativeHeight="251663360" behindDoc="0" locked="0" layoutInCell="1" allowOverlap="1" wp14:anchorId="62B889CF" wp14:editId="5C8BB425">
                      <wp:simplePos x="0" y="0"/>
                      <wp:positionH relativeFrom="column">
                        <wp:posOffset>-847725</wp:posOffset>
                      </wp:positionH>
                      <wp:positionV relativeFrom="paragraph">
                        <wp:posOffset>55880</wp:posOffset>
                      </wp:positionV>
                      <wp:extent cx="1381125" cy="219075"/>
                      <wp:effectExtent l="0" t="19050" r="47625" b="47625"/>
                      <wp:wrapNone/>
                      <wp:docPr id="6" name="Right Arrow 6"/>
                      <wp:cNvGraphicFramePr/>
                      <a:graphic xmlns:a="http://schemas.openxmlformats.org/drawingml/2006/main">
                        <a:graphicData uri="http://schemas.microsoft.com/office/word/2010/wordprocessingShape">
                          <wps:wsp>
                            <wps:cNvSpPr/>
                            <wps:spPr>
                              <a:xfrm>
                                <a:off x="0" y="0"/>
                                <a:ext cx="1381125" cy="2190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D0013C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margin-left:-66.75pt;margin-top:4.4pt;width:108.75pt;height:17.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" adj="19887" fillcolor="#5b9bd5 [3204]" strokecolor="#1f4d78 [1604]" strokeweight="1pt"/>
                  </w:pict>
                </mc:Fallback>
              </mc:AlternateContent>
            </w:r>
            <w:r w:rsidRPr="00D648AE">
              <w:rPr>
                <w:b/>
              </w:rPr>
              <w:t>Evidence of…</w:t>
            </w:r>
            <w:r>
              <w:rPr>
                <w:b/>
              </w:rPr>
              <w:t>(think parts PERSIAN)</w:t>
            </w:r>
          </w:p>
        </w:tc>
      </w:tr>
      <w:tr w:rsidR="00DF094D" w:rsidTr="00DF094D">
        <w:trPr>
          <w:trHeight w:val="495"/>
        </w:trPr>
        <w:tc>
          <w:tcPr>
            <w:tcW w:w="5677" w:type="dxa"/>
          </w:tcPr>
          <w:p w:rsidR="00DF094D" w:rsidRPr="00957B20" w:rsidRDefault="00DF094D" w:rsidP="00957B20">
            <w:pPr>
              <w:rPr>
                <w:b/>
              </w:rPr>
            </w:pPr>
            <w:r w:rsidRPr="00957B20">
              <w:rPr>
                <w:b/>
              </w:rPr>
              <w:t>Article 1 of Hammurabi’s Code</w:t>
            </w:r>
          </w:p>
          <w:p w:rsidR="00DF094D" w:rsidRDefault="00DF094D" w:rsidP="00957B20"/>
          <w:p w:rsidR="00DF094D" w:rsidRDefault="00DF094D" w:rsidP="00957B20">
            <w:r>
              <w:t>“brought a charge of murder against him, but has not proved it”</w:t>
            </w:r>
          </w:p>
          <w:p w:rsidR="00DF094D" w:rsidRDefault="00DF094D" w:rsidP="00957B20"/>
          <w:p w:rsidR="00DF094D" w:rsidRDefault="00DF094D" w:rsidP="00957B20"/>
          <w:p w:rsidR="00DF094D" w:rsidRDefault="00DF094D" w:rsidP="00957B20"/>
        </w:tc>
        <w:tc>
          <w:tcPr>
            <w:tcW w:w="5678" w:type="dxa"/>
          </w:tcPr>
          <w:p w:rsidR="00DF094D" w:rsidRDefault="00DF094D" w:rsidP="00957B20">
            <w:r>
              <w:t xml:space="preserve">That the Babylonians had a formal legal system (I/P) based on fairness (having to “prove” and accusation) and justice </w:t>
            </w:r>
            <w:r>
              <w:br/>
              <w:t xml:space="preserve">(death to those whose accusations are not proved). </w:t>
            </w:r>
          </w:p>
        </w:tc>
      </w:tr>
      <w:tr w:rsidR="00DF094D" w:rsidTr="00DF094D">
        <w:trPr>
          <w:trHeight w:val="4927"/>
        </w:trPr>
        <w:tc>
          <w:tcPr>
            <w:tcW w:w="5677" w:type="dxa"/>
          </w:tcPr>
          <w:p w:rsidR="00DF094D" w:rsidRPr="00957B20" w:rsidRDefault="00DF094D" w:rsidP="00957B20">
            <w:pPr>
              <w:rPr>
                <w:b/>
              </w:rPr>
            </w:pPr>
            <w:r w:rsidRPr="00957B20">
              <w:rPr>
                <w:b/>
              </w:rPr>
              <w:t>Articles 17, 18, 19</w:t>
            </w:r>
          </w:p>
          <w:p w:rsidR="00DF094D" w:rsidRDefault="00DF094D" w:rsidP="00957B20"/>
          <w:p w:rsidR="00DF094D" w:rsidRDefault="00DF094D" w:rsidP="00957B20"/>
          <w:p w:rsidR="00DF094D" w:rsidRDefault="00DF094D" w:rsidP="00957B20"/>
          <w:p w:rsidR="00DF094D" w:rsidRDefault="00DF094D" w:rsidP="00957B20"/>
          <w:p w:rsidR="00DF094D" w:rsidRDefault="00DF094D" w:rsidP="00957B20">
            <w:r>
              <w:t>“fugitive male or female slave”</w:t>
            </w:r>
          </w:p>
          <w:p w:rsidR="00DF094D" w:rsidRDefault="00DF094D" w:rsidP="00957B20"/>
          <w:p w:rsidR="00DF094D" w:rsidRDefault="00DF094D" w:rsidP="00957B20"/>
          <w:p w:rsidR="00DF094D" w:rsidRDefault="00DF094D" w:rsidP="00957B20"/>
          <w:p w:rsidR="00DF094D" w:rsidRDefault="00DF094D" w:rsidP="00957B20"/>
          <w:p w:rsidR="00DF094D" w:rsidRDefault="00DF094D" w:rsidP="00957B20"/>
          <w:p w:rsidR="00DF094D" w:rsidRDefault="00DF094D" w:rsidP="00957B20"/>
          <w:p w:rsidR="00DF094D" w:rsidRDefault="00DF094D" w:rsidP="00957B20"/>
          <w:p w:rsidR="00DF094D" w:rsidRDefault="00DF094D" w:rsidP="00957B20">
            <w:r>
              <w:t>“take him to that palace in order that his record may be investigated”</w:t>
            </w:r>
          </w:p>
        </w:tc>
        <w:tc>
          <w:tcPr>
            <w:tcW w:w="5678" w:type="dxa"/>
          </w:tcPr>
          <w:p w:rsidR="00DF094D" w:rsidRDefault="00DF094D" w:rsidP="00957B20">
            <w:r>
              <w:t>There were slaves within Babylonian society (S)</w:t>
            </w:r>
          </w:p>
          <w:p w:rsidR="00DF094D" w:rsidRDefault="00DF094D" w:rsidP="00957B20"/>
          <w:p w:rsidR="00DF094D" w:rsidRDefault="00DF094D" w:rsidP="00957B20">
            <w:r>
              <w:t>Also, they imply that there was a problem with attempting to escape, for rewards were offered to those who caught and returned slaves to their owners (Article 17) and penalties imposed on those who hid escaped slaves (Article 19). Article 18 can be used as evidence for the existence of an organized bureaucracy of officials who kept written records (“take him to that palace in order that his record may be investigated”). (S)</w:t>
            </w:r>
          </w:p>
          <w:p w:rsidR="00DF094D" w:rsidRDefault="00DF094D" w:rsidP="00957B20"/>
          <w:p w:rsidR="00DF094D" w:rsidRDefault="00DF094D" w:rsidP="00957B20"/>
        </w:tc>
      </w:tr>
      <w:tr w:rsidR="00DF094D" w:rsidTr="00DF094D">
        <w:trPr>
          <w:trHeight w:val="5423"/>
        </w:trPr>
        <w:tc>
          <w:tcPr>
            <w:tcW w:w="5677" w:type="dxa"/>
          </w:tcPr>
          <w:p w:rsidR="00DF094D" w:rsidRPr="00957B20" w:rsidRDefault="00DF094D" w:rsidP="00957B20">
            <w:pPr>
              <w:rPr>
                <w:b/>
              </w:rPr>
            </w:pPr>
            <w:r w:rsidRPr="00957B20">
              <w:rPr>
                <w:b/>
              </w:rPr>
              <w:lastRenderedPageBreak/>
              <w:t>Articles 53 &amp; 54</w:t>
            </w:r>
          </w:p>
        </w:tc>
        <w:tc>
          <w:tcPr>
            <w:tcW w:w="5678" w:type="dxa"/>
          </w:tcPr>
          <w:p w:rsidR="00DF094D" w:rsidRDefault="00DF094D" w:rsidP="00957B20">
            <w:r>
              <w:t>53 - requires landowners to keep dikes against water in repair</w:t>
            </w:r>
          </w:p>
          <w:p w:rsidR="00DF094D" w:rsidRDefault="00DF094D" w:rsidP="00957B20"/>
          <w:p w:rsidR="00DF094D" w:rsidRDefault="00DF094D" w:rsidP="00957B20">
            <w:r>
              <w:t>53 &amp; 54 – impose stiff penalties against those do not keeps dikes in repair</w:t>
            </w:r>
          </w:p>
          <w:p w:rsidR="00DF094D" w:rsidRDefault="00DF094D" w:rsidP="00957B20"/>
          <w:p w:rsidR="00DF094D" w:rsidRDefault="00DF094D" w:rsidP="00957B20">
            <w:r>
              <w:t xml:space="preserve">Together the articles provide evidence  for the existence of extensive water control systems for agriculture that required the cooperation (voluntary or imposed) of landowners and the government (by creating and enforcing these laws). </w:t>
            </w:r>
          </w:p>
          <w:p w:rsidR="00DF094D" w:rsidRDefault="00DF094D" w:rsidP="00957B20"/>
          <w:p w:rsidR="00DF094D" w:rsidRDefault="00DF094D" w:rsidP="00957B20">
            <w:r>
              <w:t xml:space="preserve">54 – since a landowner could be sold into slavery (“for they shall sell him”) we learn that source of slaves was not only external (form other societies through war, raids, and trade) but also internal.   </w:t>
            </w:r>
          </w:p>
        </w:tc>
      </w:tr>
      <w:tr w:rsidR="00DF094D" w:rsidTr="00DF094D">
        <w:trPr>
          <w:trHeight w:val="2764"/>
        </w:trPr>
        <w:tc>
          <w:tcPr>
            <w:tcW w:w="5677" w:type="dxa"/>
          </w:tcPr>
          <w:p w:rsidR="00DF094D" w:rsidRPr="00957B20" w:rsidRDefault="00DF094D" w:rsidP="00957B20">
            <w:pPr>
              <w:rPr>
                <w:b/>
              </w:rPr>
            </w:pPr>
            <w:r w:rsidRPr="00957B20">
              <w:rPr>
                <w:b/>
              </w:rPr>
              <w:t>Articles 141 &amp; 142</w:t>
            </w:r>
          </w:p>
        </w:tc>
        <w:tc>
          <w:tcPr>
            <w:tcW w:w="5678" w:type="dxa"/>
          </w:tcPr>
          <w:p w:rsidR="00DF094D" w:rsidRPr="00957B20" w:rsidRDefault="00DF094D" w:rsidP="00957B20">
            <w:pPr>
              <w:rPr>
                <w:b/>
              </w:rPr>
            </w:pPr>
            <w:r w:rsidRPr="00957B20">
              <w:rPr>
                <w:b/>
              </w:rPr>
              <w:t>How can the information in these articles be used to provide evidence for marriage, family life, and the relative positions of men and women in Babylonian society?</w:t>
            </w:r>
          </w:p>
          <w:p w:rsidR="00DF094D" w:rsidRDefault="00DF094D" w:rsidP="00957B20"/>
          <w:p w:rsidR="00DF094D" w:rsidRDefault="00DF094D" w:rsidP="00957B20"/>
          <w:p w:rsidR="00DF094D" w:rsidRDefault="00DF094D" w:rsidP="00957B20"/>
          <w:p w:rsidR="00DF094D" w:rsidRDefault="00DF094D" w:rsidP="00957B20"/>
          <w:p w:rsidR="00DF094D" w:rsidRDefault="00DF094D" w:rsidP="00957B20"/>
          <w:p w:rsidR="00DF094D" w:rsidRDefault="00DF094D" w:rsidP="00957B20"/>
        </w:tc>
      </w:tr>
      <w:tr w:rsidR="00DF094D" w:rsidTr="00DF094D">
        <w:trPr>
          <w:trHeight w:val="2570"/>
        </w:trPr>
        <w:tc>
          <w:tcPr>
            <w:tcW w:w="5677" w:type="dxa"/>
          </w:tcPr>
          <w:p w:rsidR="00DF094D" w:rsidRDefault="00DF094D" w:rsidP="00957B20">
            <w:pPr>
              <w:rPr>
                <w:b/>
              </w:rPr>
            </w:pPr>
            <w:r>
              <w:rPr>
                <w:b/>
              </w:rPr>
              <w:t>Article 195-202</w:t>
            </w:r>
          </w:p>
          <w:p w:rsidR="00DF094D" w:rsidRDefault="00DF094D" w:rsidP="00957B20">
            <w:pPr>
              <w:rPr>
                <w:b/>
              </w:rPr>
            </w:pPr>
          </w:p>
          <w:p w:rsidR="00DF094D" w:rsidRPr="00957B20" w:rsidRDefault="00DF094D" w:rsidP="00957B20">
            <w:r w:rsidRPr="00957B20">
              <w:t>196: “If a seignor has destroyed the eye of a member of the aristocracy , they shall destroy his eye.”</w:t>
            </w:r>
          </w:p>
          <w:p w:rsidR="00DF094D" w:rsidRPr="00957B20" w:rsidRDefault="00DF094D" w:rsidP="00957B20"/>
          <w:p w:rsidR="00DF094D" w:rsidRPr="00957B20" w:rsidRDefault="00DF094D" w:rsidP="00957B20">
            <w:pPr>
              <w:rPr>
                <w:b/>
              </w:rPr>
            </w:pPr>
            <w:r w:rsidRPr="00957B20">
              <w:t>198: “If he has destroyed the eye of a commoner or broken the bone of a commoner, he shall pay one mina of silver.”</w:t>
            </w:r>
          </w:p>
        </w:tc>
        <w:tc>
          <w:tcPr>
            <w:tcW w:w="5678" w:type="dxa"/>
          </w:tcPr>
          <w:p w:rsidR="00DF094D" w:rsidRDefault="00DF094D" w:rsidP="00957B20"/>
          <w:p w:rsidR="00DF094D" w:rsidRDefault="00DF094D" w:rsidP="00957B20"/>
          <w:p w:rsidR="00DF094D" w:rsidRDefault="00DF094D" w:rsidP="00957B20"/>
          <w:p w:rsidR="00DF094D" w:rsidRDefault="00DF094D" w:rsidP="00957B20"/>
          <w:p w:rsidR="00DF094D" w:rsidRDefault="00DF094D" w:rsidP="00957B20"/>
          <w:p w:rsidR="00DF094D" w:rsidRDefault="00DF094D" w:rsidP="00957B20"/>
          <w:p w:rsidR="00DF094D" w:rsidRDefault="00DF094D" w:rsidP="00957B20"/>
          <w:p w:rsidR="00DF094D" w:rsidRDefault="00DF094D" w:rsidP="00957B20"/>
          <w:p w:rsidR="00DF094D" w:rsidRDefault="00DF094D" w:rsidP="00957B20"/>
          <w:p w:rsidR="00DF094D" w:rsidRPr="00957B20" w:rsidRDefault="00DF094D" w:rsidP="00957B20">
            <w:pPr>
              <w:rPr>
                <w:b/>
              </w:rPr>
            </w:pPr>
          </w:p>
        </w:tc>
      </w:tr>
    </w:tbl>
    <w:p w:rsidR="00425760" w:rsidRDefault="00425760"/>
    <w:p w:rsidR="00D648AE" w:rsidRDefault="00D648AE"/>
    <w:p w:rsidR="00D648AE" w:rsidRDefault="00DF094D">
      <w:r>
        <w:rPr>
          <w:noProof/>
        </w:rPr>
        <mc:AlternateContent>
          <mc:Choice Requires="wps">
            <w:drawing>
              <wp:anchor distT="0" distB="0" distL="114300" distR="114300" simplePos="0" relativeHeight="251660288" behindDoc="0" locked="0" layoutInCell="1" allowOverlap="1" wp14:anchorId="208306F7" wp14:editId="5DAEF64A">
                <wp:simplePos x="0" y="0"/>
                <wp:positionH relativeFrom="column">
                  <wp:posOffset>2752406</wp:posOffset>
                </wp:positionH>
                <wp:positionV relativeFrom="paragraph">
                  <wp:posOffset>221299</wp:posOffset>
                </wp:positionV>
                <wp:extent cx="257175" cy="476250"/>
                <wp:effectExtent l="4763" t="14287" r="0" b="33338"/>
                <wp:wrapNone/>
                <wp:docPr id="2" name="Down Arrow 2"/>
                <wp:cNvGraphicFramePr/>
                <a:graphic xmlns:a="http://schemas.openxmlformats.org/drawingml/2006/main">
                  <a:graphicData uri="http://schemas.microsoft.com/office/word/2010/wordprocessingShape">
                    <wps:wsp>
                      <wps:cNvSpPr/>
                      <wps:spPr>
                        <a:xfrm rot="16200000" flipH="1">
                          <a:off x="0" y="0"/>
                          <a:ext cx="257175" cy="47625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EFF8B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 o:spid="_x0000_s1026" type="#_x0000_t67" style="position:absolute;margin-left:216.7pt;margin-top:17.45pt;width:20.25pt;height:37.5pt;rotation:90;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" adj="15768" fillcolor="#5b9bd5 [3204]" strokecolor="#1f4d78 [1604]" strokeweight="1pt"/>
            </w:pict>
          </mc:Fallback>
        </mc:AlternateContent>
      </w:r>
    </w:p>
    <w:p w:rsidR="00D648AE" w:rsidRDefault="00DF094D">
      <w:r>
        <w:rPr>
          <w:noProof/>
        </w:rPr>
        <mc:AlternateContent>
          <mc:Choice Requires="wps">
            <w:drawing>
              <wp:anchor distT="45720" distB="45720" distL="114300" distR="114300" simplePos="0" relativeHeight="251662336" behindDoc="0" locked="0" layoutInCell="1" allowOverlap="1" wp14:anchorId="42B2A9BD" wp14:editId="5B269DA3">
                <wp:simplePos x="0" y="0"/>
                <wp:positionH relativeFrom="column">
                  <wp:posOffset>3166745</wp:posOffset>
                </wp:positionH>
                <wp:positionV relativeFrom="paragraph">
                  <wp:posOffset>8890</wp:posOffset>
                </wp:positionV>
                <wp:extent cx="2360930" cy="1404620"/>
                <wp:effectExtent l="0" t="0" r="22860" b="139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DF094D" w:rsidRDefault="00DF094D" w:rsidP="00DF094D">
                            <w:r>
                              <w:t>Conclusions/History</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2B2A9BD" id="_x0000_t202" coordsize="21600,21600" o:spt="202" path="m,l,21600r21600,l21600,xe">
                <v:stroke joinstyle="miter"/>
                <v:path gradientshapeok="t" o:connecttype="rect"/>
              </v:shapetype>
              <v:shape id="Text Box 2" o:spid="_x0000_s1026" type="#_x0000_t202" style="position:absolute;margin-left:249.35pt;margin-top:.7pt;width:185.9pt;height:110.6pt;z-index:25166233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hjcIwIAAEUEAAAOAAAAZHJzL2Uyb0RvYy54bWysU9uO2yAQfa/Uf0C8N3a8Sbq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">
                <v:textbox style="mso-fit-shape-to-text:t">
                  <w:txbxContent>
                    <w:p w:rsidR="00DF094D" w:rsidRDefault="00DF094D" w:rsidP="00DF094D">
                      <w:r>
                        <w:t>Conclusions/History</w:t>
                      </w:r>
                    </w:p>
                  </w:txbxContent>
                </v:textbox>
                <w10:wrap type="square"/>
              </v:shape>
            </w:pict>
          </mc:Fallback>
        </mc:AlternateContent>
      </w:r>
      <w:r>
        <w:rPr>
          <w:noProof/>
        </w:rPr>
        <mc:AlternateContent>
          <mc:Choice Requires="wps">
            <w:drawing>
              <wp:anchor distT="45720" distB="45720" distL="114300" distR="114300" simplePos="0" relativeHeight="251659264" behindDoc="0" locked="0" layoutInCell="1" allowOverlap="1" wp14:anchorId="0F2A856F" wp14:editId="6D4DB808">
                <wp:simplePos x="0" y="0"/>
                <wp:positionH relativeFrom="column">
                  <wp:posOffset>440055</wp:posOffset>
                </wp:positionH>
                <wp:positionV relativeFrom="paragraph">
                  <wp:posOffset>13970</wp:posOffset>
                </wp:positionV>
                <wp:extent cx="2360930" cy="1404620"/>
                <wp:effectExtent l="0" t="0" r="2286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DF094D" w:rsidRDefault="00DF094D">
                            <w:r>
                              <w:t>Text/Evidence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F2A856F" id="_x0000_s1027" type="#_x0000_t202" style="position:absolute;margin-left:34.65pt;margin-top:1.1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">
                <v:textbox style="mso-fit-shape-to-text:t">
                  <w:txbxContent>
                    <w:p w:rsidR="00DF094D" w:rsidRDefault="00DF094D">
                      <w:r>
                        <w:t>Text/Evidence</w:t>
                      </w:r>
                    </w:p>
                  </w:txbxContent>
                </v:textbox>
                <w10:wrap type="square"/>
              </v:shape>
            </w:pict>
          </mc:Fallback>
        </mc:AlternateContent>
      </w:r>
    </w:p>
    <w:sectPr w:rsidR="00D648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448" w:rsidRDefault="00CA2448" w:rsidP="004951A2">
      <w:pPr>
        <w:spacing w:after="0" w:line="240" w:lineRule="auto"/>
      </w:pPr>
      <w:r>
        <w:separator/>
      </w:r>
    </w:p>
  </w:endnote>
  <w:endnote w:type="continuationSeparator" w:id="0">
    <w:p w:rsidR="00CA2448" w:rsidRDefault="00CA2448" w:rsidP="00495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448" w:rsidRDefault="00CA2448" w:rsidP="004951A2">
      <w:pPr>
        <w:spacing w:after="0" w:line="240" w:lineRule="auto"/>
      </w:pPr>
      <w:r>
        <w:separator/>
      </w:r>
    </w:p>
  </w:footnote>
  <w:footnote w:type="continuationSeparator" w:id="0">
    <w:p w:rsidR="00CA2448" w:rsidRDefault="00CA2448" w:rsidP="004951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8AE"/>
    <w:rsid w:val="000A3E78"/>
    <w:rsid w:val="00425760"/>
    <w:rsid w:val="004951A2"/>
    <w:rsid w:val="006464A9"/>
    <w:rsid w:val="00957B20"/>
    <w:rsid w:val="00CA2448"/>
    <w:rsid w:val="00D648AE"/>
    <w:rsid w:val="00DF0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D92E51B-127F-4A53-9EAC-82229A3F2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48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951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51A2"/>
  </w:style>
  <w:style w:type="paragraph" w:styleId="Footer">
    <w:name w:val="footer"/>
    <w:basedOn w:val="Normal"/>
    <w:link w:val="FooterChar"/>
    <w:uiPriority w:val="99"/>
    <w:unhideWhenUsed/>
    <w:rsid w:val="004951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5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Sweetwater Union High School District</Company>
  <LinksUpToDate>false</LinksUpToDate>
  <CharactersWithSpaces>2186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Hadi</dc:creator>
  <cp:keywords/>
  <dc:description/>
  <cp:lastModifiedBy>Ola Hadi</cp:lastModifiedBy>
  <cp:revision>2</cp:revision>
  <dcterms:created xsi:type="dcterms:W3CDTF">2014-08-19T22:04:00Z</dcterms:created>
  <dcterms:modified xsi:type="dcterms:W3CDTF">2014-08-19T22:04:00Z</dcterms:modified>
</cp:coreProperties>
</file>